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2000000">
      <w:pPr>
        <w:spacing w:after="134" w:before="134"/>
        <w:ind w:firstLine="0" w:left="0" w:right="0"/>
      </w:pPr>
      <w:r>
        <w:t>МЕЖРЕГИОНАЛЬНАЯ БЛАГОТВОРИТЕЛЬНАЯ ОБЩЕСТВЕННАЯ ОРГАНИЗАЦИЯ</w:t>
      </w:r>
      <w:r>
        <w:br/>
      </w:r>
      <w:r>
        <w:t>СОДЕЙСТВИЯ ЛИЦАМ С ИНВАЛИДНОСТЬЮ «ПАРУС НАДЕЖДЫ» (МБОО «Парус надежды»)</w:t>
      </w:r>
    </w:p>
    <w:p w14:paraId="03000000">
      <w:pPr>
        <w:spacing w:after="134" w:before="134"/>
        <w:ind w:firstLine="0" w:left="0" w:right="0"/>
      </w:pPr>
      <w:r>
        <w:t>СОГЛАСИЕ</w:t>
      </w:r>
      <w:r>
        <w:br/>
      </w:r>
      <w:r>
        <w:t>на обработку персональных данных и на их распространение</w:t>
      </w:r>
      <w:r>
        <w:br/>
      </w:r>
      <w:r>
        <w:t>на сайте hope-sail.pro</w:t>
      </w:r>
    </w:p>
    <w:p w14:paraId="04000000">
      <w:pPr>
        <w:spacing w:after="134" w:before="134"/>
        <w:ind w:firstLine="0" w:left="0" w:right="0"/>
      </w:pPr>
      <w:r>
        <w:t>Москва, 2026</w:t>
      </w:r>
    </w:p>
    <w:p w14:paraId="05000000">
      <w:pPr>
        <w:numPr>
          <w:ilvl w:val="0"/>
          <w:numId w:val="1"/>
        </w:numPr>
        <w:spacing w:after="151" w:before="151"/>
        <w:ind w:firstLine="0" w:left="0" w:right="0"/>
      </w:pPr>
      <w:r>
        <w:rPr>
          <w:b w:val="1"/>
        </w:rPr>
        <w:t>Оператор и обработчики</w:t>
      </w:r>
      <w:r>
        <w:br/>
      </w:r>
      <w:r>
        <w:t xml:space="preserve">1.1. Оператор персональных данных: Межрегиональная благотворительная общественная организация содействия лицам с инвалидностью «Парус надежды» (МБОО «Парус надежды»), ОГРН 1037739141527, ИНН 7706139416, КПП 773301001, юридический адрес: 125481, г. Москва, ул. Свободы, д. 81, корп. 3, кв. 543; фактический адрес: 121433, г. Москва, ул. Большая Филевская, д. 32А, стр. 1; e‑mail: </w:t>
      </w:r>
      <w:r>
        <w:rPr>
          <w:rFonts w:ascii="Golos Text" w:hAnsi="Golos Text"/>
          <w:b w:val="0"/>
          <w:i w:val="0"/>
          <w:caps w:val="0"/>
          <w:color w:val="0000EE"/>
          <w:spacing w:val="0"/>
          <w:sz w:val="23"/>
          <w:u w:color="000000" w:val="single"/>
        </w:rPr>
        <w:t>ddavydov070@gmail.com</w:t>
      </w:r>
      <w:r>
        <w:t>.</w:t>
      </w:r>
      <w:r>
        <w:br/>
      </w:r>
      <w:r>
        <w:t xml:space="preserve">1.2. Оператор может привлекать обработчиков (провайдеры хостинга, CDN, сервисы рассылок, аналитики, платёжные агрегаторы и пр.), расположенных в различных юрисдикциях мира, включая, помимо России и ЕС: страны Африки, страны Азии, страны Латинской Америки, страны Ближнего Востока, Северной Америки и Океании. Перечень категорий привлечённых обработчиков и территории их расположения доступен по запросу на </w:t>
      </w:r>
      <w:r>
        <w:rPr>
          <w:rFonts w:ascii="Golos Text" w:hAnsi="Golos Text"/>
          <w:b w:val="0"/>
          <w:i w:val="0"/>
          <w:caps w:val="0"/>
          <w:color w:val="0000EE"/>
          <w:spacing w:val="0"/>
          <w:sz w:val="23"/>
          <w:u w:color="000000" w:val="single"/>
        </w:rPr>
        <w:t>ddavydov070@gmail.com.</w:t>
      </w:r>
    </w:p>
    <w:p w14:paraId="06000000">
      <w:pPr>
        <w:numPr>
          <w:ilvl w:val="0"/>
          <w:numId w:val="1"/>
        </w:numPr>
        <w:spacing w:after="151" w:before="151"/>
        <w:ind w:firstLine="0" w:left="0" w:right="0"/>
      </w:pPr>
      <w:r>
        <w:rPr>
          <w:b w:val="1"/>
        </w:rPr>
        <w:t>Применимое право и трансграничная обработка</w:t>
      </w:r>
      <w:r>
        <w:rPr>
          <w:b w:val="1"/>
        </w:rPr>
        <w:br/>
      </w:r>
      <w:r>
        <w:t>2.1. Обработка персональных данных осуществляется в соответствии с применимым законодательством о защите персональных данных, включая Федеральный закон РФ №152‑ФЗ «О персональных данных», GDPR (для данных субъектов из ЕС/ЕЭЗ) и иные применимые международные нормы.</w:t>
      </w:r>
      <w:r>
        <w:br/>
      </w:r>
      <w:r>
        <w:t>2.2. Пользователь даёт согласие на передачу и хранение персональных данных в и через государства, упомянутые в п.1.2, иные государства/регионы (включая Африку, Азию, Латинскую Америку) — если это необходимо для реализации целей обработки, указанных в разделе 5. При передаче в юрисдикции, не признаваемые Европейской комиссией как обеспечивающие адекватную защиту, Оператор реализует надлежащие гарантии (SCC, договорные положения, технико‑организационные меры, шифрование и пр.).</w:t>
      </w:r>
    </w:p>
    <w:p w14:paraId="07000000">
      <w:pPr>
        <w:numPr>
          <w:ilvl w:val="0"/>
          <w:numId w:val="1"/>
        </w:numPr>
        <w:spacing w:after="151" w:before="151"/>
        <w:ind w:firstLine="0" w:left="0" w:right="0"/>
      </w:pPr>
      <w:r>
        <w:rPr>
          <w:b w:val="1"/>
        </w:rPr>
        <w:t>Субъект согласия</w:t>
      </w:r>
      <w:r>
        <w:br/>
      </w:r>
      <w:r>
        <w:t>3.1. Настоящее Согласие даётся Пользователем (субъектом персональных данных) добровольно.</w:t>
      </w:r>
      <w:r>
        <w:br/>
      </w:r>
      <w:r>
        <w:t>3.2. Для несовершеннолетних либо субъектов, у которых по применимому праву нет прав на самостоятельное согласие, согласие даёт их законный представитель; возраст согласия определяется применимым законодательством страны проживания Пользователя.</w:t>
      </w:r>
    </w:p>
    <w:p w14:paraId="08000000">
      <w:pPr>
        <w:numPr>
          <w:ilvl w:val="0"/>
          <w:numId w:val="1"/>
        </w:numPr>
        <w:spacing w:after="151" w:before="151"/>
        <w:ind w:firstLine="0" w:left="0" w:right="0"/>
      </w:pPr>
      <w:r>
        <w:rPr>
          <w:b w:val="1"/>
        </w:rPr>
        <w:t>Объём персональных данных</w:t>
      </w:r>
      <w:r>
        <w:br/>
      </w:r>
      <w:r>
        <w:t>(Без изменений; перечисляются те же категории: регистрационные данные, заявка на выставку с фото/текстом, форма обратной связи, лог‑данные и cookie.)</w:t>
      </w:r>
    </w:p>
    <w:p w14:paraId="09000000">
      <w:pPr>
        <w:numPr>
          <w:ilvl w:val="0"/>
          <w:numId w:val="1"/>
        </w:numPr>
        <w:spacing w:after="151" w:before="151"/>
        <w:ind w:firstLine="0" w:left="0" w:right="0"/>
      </w:pPr>
      <w:r>
        <w:rPr>
          <w:b w:val="1"/>
        </w:rPr>
        <w:t>Цели обработки</w:t>
      </w:r>
      <w:r>
        <w:br/>
      </w:r>
      <w:r>
        <w:t>(Без изменений: регистрация, приём и модерация заявок, публикация работ на hope‑sail.pro, уведомления, обработка обращений, обеспечение работоспособности и безопасности сайта; без использования для прямого маркетинга без отдельного согласия.)</w:t>
      </w:r>
    </w:p>
    <w:p w14:paraId="0A000000">
      <w:pPr>
        <w:numPr>
          <w:ilvl w:val="0"/>
          <w:numId w:val="1"/>
        </w:numPr>
        <w:spacing w:after="151" w:before="151"/>
        <w:ind w:firstLine="0" w:left="0" w:right="0"/>
      </w:pPr>
      <w:r>
        <w:rPr>
          <w:b w:val="1"/>
        </w:rPr>
        <w:t>Правовые основания обработки</w:t>
      </w:r>
      <w:r>
        <w:br/>
      </w:r>
      <w:r>
        <w:t>(Без изменений: добровольное согласие; дополнительные основания — исполнение договора, обеспечение безопасности, законные интересы в пределах применимого права.)</w:t>
      </w:r>
    </w:p>
    <w:p w14:paraId="0B000000">
      <w:pPr>
        <w:numPr>
          <w:ilvl w:val="0"/>
          <w:numId w:val="1"/>
        </w:numPr>
        <w:spacing w:after="151" w:before="151"/>
        <w:ind w:firstLine="0" w:left="0" w:right="0"/>
      </w:pPr>
      <w:r>
        <w:rPr>
          <w:b w:val="1"/>
        </w:rPr>
        <w:t>Публикация материалов, ответственность за права на контент</w:t>
      </w:r>
      <w:r>
        <w:br/>
      </w:r>
      <w:r>
        <w:t>7.1. Пользователь отдельно даёт согласие на публикацию (распространение) на сайте hope‑sail.pro следующих данных: имя автора (в объёме, указанном при подаче заявки), страна, портретное фото, текст «О себе», фотоработы, направленные на выставку.</w:t>
      </w:r>
      <w:r>
        <w:br/>
      </w:r>
      <w:r>
        <w:t>7.2. Оператор публикует материалы на сайте hope‑sail.pro и не осуществляет дополнительной трансляции материалов на сторонние ресурсы без отдельного соглашения. Любая иная публикация осуществляется только с отдельного согласия Пользователя.</w:t>
      </w:r>
      <w:r>
        <w:br/>
      </w:r>
      <w:r>
        <w:t>7.3. Важное уведомление и отказ от ответственности: Пользователь подтверждает и понимает, что Оператор не вправе и не в состоянии всесторонне проверять правовой статус (правообладателя) всех присланных фотографий, изображений, текстов и иных материалов, в том числе в отношении авторских прав, смежных прав, прав на изображение третьих лиц и иных имущественных прав. В связи с этим Оператор:</w:t>
      </w:r>
    </w:p>
    <w:p w14:paraId="0C000000">
      <w:pPr>
        <w:numPr>
          <w:ilvl w:val="0"/>
          <w:numId w:val="2"/>
        </w:numPr>
      </w:pPr>
      <w:r>
        <w:t>не несёт ответственности за наличие/отсутствие у Пользователя прав на распространяемые материалы;</w:t>
      </w:r>
    </w:p>
    <w:p w14:paraId="0D000000">
      <w:pPr>
        <w:numPr>
          <w:ilvl w:val="0"/>
          <w:numId w:val="2"/>
        </w:numPr>
      </w:pPr>
      <w:r>
        <w:t>не несёт ответственности за возможные претензии третьих лиц, связанные с правами на опубликованные материалы;</w:t>
      </w:r>
    </w:p>
    <w:p w14:paraId="0E000000">
      <w:pPr>
        <w:numPr>
          <w:ilvl w:val="0"/>
          <w:numId w:val="2"/>
        </w:numPr>
      </w:pPr>
      <w:r>
        <w:t>оставляет за собой право по собственному усмотрению удалять материалы при получании обоснованных жалоб/претензий либо по требованию уполномоченных органов.</w:t>
      </w:r>
      <w:r>
        <w:br/>
      </w:r>
      <w:r>
        <w:t>7.4. Гарантии и обязательства Пользователя: отправляя материалы, Пользователь гарантирует, что:</w:t>
      </w:r>
    </w:p>
    <w:p w14:paraId="0F000000">
      <w:pPr>
        <w:numPr>
          <w:ilvl w:val="0"/>
          <w:numId w:val="2"/>
        </w:numPr>
      </w:pPr>
      <w:r>
        <w:t>он является правообладателем материалов либо уполномочен правообладателем на их размещение и распространение;</w:t>
      </w:r>
    </w:p>
    <w:p w14:paraId="10000000">
      <w:pPr>
        <w:numPr>
          <w:ilvl w:val="0"/>
          <w:numId w:val="2"/>
        </w:numPr>
      </w:pPr>
      <w:r>
        <w:t>при наличии на фотографиях узнаваемых лиц у него получены соответствующие согласия (или разрешения их законных представителей) на публикацию;</w:t>
      </w:r>
    </w:p>
    <w:p w14:paraId="11000000">
      <w:pPr>
        <w:numPr>
          <w:ilvl w:val="0"/>
          <w:numId w:val="2"/>
        </w:numPr>
        <w:ind/>
        <w:jc w:val="left"/>
      </w:pPr>
      <w:r>
        <w:t>материалы не нарушают права третьих лиц и не содержат запрещённого законом контента.</w:t>
      </w:r>
    </w:p>
    <w:p w14:paraId="12000000">
      <w:pPr>
        <w:ind/>
        <w:jc w:val="left"/>
      </w:pPr>
      <w:r>
        <w:br/>
      </w:r>
      <w:r>
        <w:t>7.5. Индемнити: в случае предъявления к Оператору претензий, убытков или требований со стороны третьих лиц в связи с опубликованными материалами, Пользователь обязуется самостоятельно урегулировать такие требования, возместить Оператору все понесённые убытки, расходы и расходы на защиту (включая судебные издержки), и при необходимости незамедлительно представить доказательства наличия необходимых прав у Пользователя.</w:t>
      </w:r>
      <w:r>
        <w:br/>
      </w:r>
      <w:r>
        <w:t>7.6. Ограничения публикации: на Сайте не публикуются (и не подлежат распространению) контактные данные Пользователя (адрес электронной почты, телефон), пароль, технические данные и иные сведения, которые Пользователь не выразил намерение раскрывать публично.</w:t>
      </w:r>
    </w:p>
    <w:p w14:paraId="13000000">
      <w:pPr>
        <w:spacing w:after="151" w:before="151"/>
        <w:ind w:firstLine="0" w:left="0" w:right="0"/>
      </w:pPr>
      <w:r>
        <w:rPr>
          <w:b w:val="1"/>
        </w:rPr>
        <w:t>8. Распространение и международный доступ</w:t>
      </w:r>
      <w:r>
        <w:br/>
      </w:r>
      <w:r>
        <w:t>8.1. Публикация материалов на сайте означает доступ к ним неограниченного круга лиц в глобальном масштабе, включая посетителей из стран Африки, Азии, Латинской Америки, Ближнего Востока, Европы, Северной Америки и Океании. Пользователь осознаёт и соглашается, что размещённые материалы могут быть доступны и просматриваться лицами из различных юрисдикций.</w:t>
      </w:r>
      <w:r>
        <w:br/>
      </w:r>
      <w:r>
        <w:t>8.2. Оператор не контролирует правовые режимы и практики обработки персональных данных посетителями сайта в иных странах и не может гарантировать действия третьих лиц, которые, при просмотре или сохранении материалов, действуют в соответствии с их локальным законодательством.</w:t>
      </w:r>
    </w:p>
    <w:p w14:paraId="14000000">
      <w:pPr>
        <w:numPr>
          <w:ilvl w:val="0"/>
          <w:numId w:val="3"/>
        </w:numPr>
        <w:spacing w:after="151" w:before="151"/>
        <w:ind w:right="0"/>
      </w:pPr>
      <w:r>
        <w:t>Права субъекта данных (как ранее)</w:t>
      </w:r>
      <w:r>
        <w:br/>
      </w:r>
      <w:r>
        <w:t xml:space="preserve">(Доступ, исправление, удаление, ограничение, переносимость, отзыв согласия и т.д.; контакты </w:t>
      </w:r>
      <w:r>
        <w:rPr>
          <w:rFonts w:ascii="Golos Text" w:hAnsi="Golos Text"/>
          <w:b w:val="0"/>
          <w:i w:val="0"/>
          <w:caps w:val="0"/>
          <w:color w:val="0000EE"/>
          <w:spacing w:val="0"/>
          <w:sz w:val="23"/>
          <w:u w:color="000000" w:val="single"/>
        </w:rPr>
        <w:t>ddavydov070@gmail.com</w:t>
      </w:r>
      <w:r>
        <w:t>)</w:t>
      </w:r>
    </w:p>
    <w:p w14:paraId="15000000">
      <w:pPr>
        <w:numPr>
          <w:ilvl w:val="0"/>
          <w:numId w:val="3"/>
        </w:numPr>
        <w:spacing w:after="151" w:before="151"/>
        <w:ind w:right="0"/>
      </w:pPr>
      <w:r>
        <w:t>Срок хранения и удаление</w:t>
      </w:r>
      <w:r>
        <w:br/>
      </w:r>
      <w:r>
        <w:t>(Как ранее — хранение до отзыва/по требованию/в соответствии с законом; публикации удаляются в течение 10 рабочих дней после запроса, если иное не требуется законом.)</w:t>
      </w:r>
    </w:p>
    <w:p w14:paraId="16000000">
      <w:pPr>
        <w:numPr>
          <w:ilvl w:val="0"/>
          <w:numId w:val="3"/>
        </w:numPr>
        <w:spacing w:after="151" w:before="151"/>
        <w:ind w:right="0"/>
      </w:pPr>
      <w:r>
        <w:t>Отзыв согласия и последствия</w:t>
      </w:r>
      <w:r>
        <w:br/>
      </w:r>
      <w:r>
        <w:t>(Как ранее: отзыв по e‑mail или почтой, не затрагивает законность обработок до отзыва.)</w:t>
      </w:r>
    </w:p>
    <w:p w14:paraId="17000000">
      <w:pPr>
        <w:numPr>
          <w:ilvl w:val="0"/>
          <w:numId w:val="3"/>
        </w:numPr>
        <w:spacing w:after="151" w:before="151"/>
        <w:ind w:right="0"/>
      </w:pPr>
      <w:r>
        <w:t>Безопасность и меры защиты при трансграничной передаче</w:t>
      </w:r>
    </w:p>
    <w:p w14:paraId="18000000">
      <w:pPr>
        <w:spacing w:after="151" w:before="151"/>
        <w:ind w:right="0"/>
      </w:pPr>
      <w:r>
        <w:t>8.3.  Оператор применяет адекватные технические и организационные меры для защиты данных при их хранении и передаче за пределы РФ (шифрование, договорные гарантии с обработчиками, журналы доступа, управление правами доступа).</w:t>
      </w:r>
      <w:r>
        <w:br/>
      </w:r>
      <w:r>
        <w:t>8.4. При необходимости передачи данных в регионы Африки, Азии, Латинской Америки и др. Оператор обеспечивает дополнительные гарантии соответствия и указывает применяемые механизмы защиты по запросу.</w:t>
      </w:r>
    </w:p>
    <w:p w14:paraId="19000000">
      <w:pPr>
        <w:numPr>
          <w:ilvl w:val="0"/>
          <w:numId w:val="4"/>
        </w:numPr>
        <w:spacing w:after="151" w:before="151"/>
        <w:ind w:right="0"/>
      </w:pPr>
      <w:r>
        <w:t>Протоколирование согласия</w:t>
      </w:r>
      <w:r>
        <w:br/>
      </w:r>
      <w:r>
        <w:t>(Фиксация даты/времени/IP/редакции; чекбокс равнозначен подписи.)</w:t>
      </w:r>
    </w:p>
    <w:p w14:paraId="1A000000">
      <w:pPr>
        <w:numPr>
          <w:ilvl w:val="0"/>
          <w:numId w:val="4"/>
        </w:numPr>
        <w:spacing w:after="151" w:before="151"/>
        <w:ind w:right="0"/>
      </w:pPr>
      <w:r>
        <w:t>Доп. положения для несовершеннолетних</w:t>
      </w:r>
      <w:r>
        <w:br/>
      </w:r>
      <w:r>
        <w:t>(Как ранее: согласие даёт законный представитель.)</w:t>
      </w:r>
    </w:p>
    <w:p w14:paraId="1B000000">
      <w:pPr>
        <w:spacing w:after="151" w:before="151"/>
        <w:ind w:firstLine="0" w:left="0" w:right="0"/>
      </w:pPr>
      <w:r>
        <w:rPr>
          <w:b w:val="1"/>
        </w:rPr>
        <w:t>Контакты и надзор</w:t>
      </w:r>
      <w:r>
        <w:br/>
      </w:r>
      <w:r>
        <w:t>(Контакты DPO/</w:t>
      </w:r>
      <w:r>
        <w:rPr>
          <w:rFonts w:ascii="Golos Text" w:hAnsi="Golos Text"/>
          <w:b w:val="0"/>
          <w:i w:val="0"/>
          <w:caps w:val="0"/>
          <w:color w:val="0000EE"/>
          <w:spacing w:val="0"/>
          <w:sz w:val="23"/>
          <w:u w:color="000000" w:val="single"/>
        </w:rPr>
        <w:t>ddavydov070@gmail.com</w:t>
      </w:r>
      <w:r>
        <w:t>; права обращаться в надзорные органы.)</w:t>
      </w:r>
    </w:p>
    <w:p w14:paraId="1C000000">
      <w:pPr>
        <w:spacing w:after="151" w:before="151"/>
        <w:ind w:firstLine="0" w:left="0" w:right="0"/>
      </w:pPr>
      <w:r>
        <w:rPr>
          <w:b w:val="1"/>
        </w:rPr>
        <w:t>9. Заключительные положения</w:t>
      </w:r>
      <w:r>
        <w:br/>
      </w:r>
      <w:r>
        <w:t>9.1. Согласие действует с момента проставления отметки (чекбокса) и действует до отзыва.</w:t>
      </w:r>
      <w:r>
        <w:br/>
      </w:r>
      <w:r>
        <w:t>9.2. Изменения в тексте публикуются на странице политики обработки персональных данных; дальнейшее использование сайта после публикации изменений расценивается как принятие новой редакции, если иное не указано.</w:t>
      </w:r>
    </w:p>
    <w:p w14:paraId="1D000000">
      <w:pPr>
        <w:spacing w:after="134" w:before="134"/>
        <w:ind w:firstLine="0" w:left="0" w:right="0"/>
      </w:pPr>
      <w:r>
        <w:t>Фамилия, имя, отчество: ______________________________________________________</w:t>
      </w:r>
      <w:r>
        <w:br/>
      </w:r>
      <w:r>
        <w:t>Адрес электронной почты: ____________________________________________________</w:t>
      </w:r>
      <w:r>
        <w:br/>
      </w:r>
      <w:r>
        <w:t>Для несовершеннолетнего — Ф. И. О. законного представителя:</w:t>
      </w:r>
    </w:p>
    <w:p w14:paraId="1E000000">
      <w:pPr>
        <w:spacing w:after="134" w:before="134"/>
        <w:ind w:firstLine="0" w:left="0" w:right="0"/>
      </w:pPr>
      <w:r>
        <w:t>Дата: «</w:t>
      </w:r>
      <w:r>
        <w:rPr>
          <w:b w:val="1"/>
        </w:rPr>
        <w:t>» ____________ 20</w:t>
      </w:r>
      <w:r>
        <w:t xml:space="preserve"> г. Подпись: __________ / ______________</w:t>
      </w:r>
    </w:p>
    <w:p w14:paraId="1F000000"/>
    <w:p w14:paraId="20000000"/>
    <w:sectPr>
      <w:headerReference r:id="rId1" w:type="default"/>
      <w:pgSz w:h="16838" w:w="11906"/>
      <w:pgMar w:bottom="1134" w:footer="708" w:gutter="0" w:header="567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fldChar w:fldCharType="end"/>
    </w:r>
  </w:p>
  <w:p w14:paraId="01000000">
    <w:pPr>
      <w:spacing w:after="0"/>
      <w:ind/>
      <w:jc w:val="center"/>
    </w:pPr>
  </w:p>
</w:hdr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8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endnote reference"/>
    <w:link w:val="Style_2_ch"/>
    <w:rPr>
      <w:vertAlign w:val="superscript"/>
    </w:rPr>
  </w:style>
  <w:style w:styleId="Style_2_ch" w:type="character">
    <w:name w:val="endnote reference"/>
    <w:link w:val="Style_2"/>
    <w:rPr>
      <w:vertAlign w:val="superscript"/>
    </w:rPr>
  </w:style>
  <w:style w:styleId="Style_3" w:type="paragraph">
    <w:name w:val="toc 2"/>
    <w:next w:val="Style_1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footnote reference"/>
    <w:link w:val="Style_4_ch"/>
    <w:rPr>
      <w:vertAlign w:val="superscript"/>
    </w:rPr>
  </w:style>
  <w:style w:styleId="Style_4_ch" w:type="character">
    <w:name w:val="footnote reference"/>
    <w:link w:val="Style_4"/>
    <w:rPr>
      <w:vertAlign w:val="superscript"/>
    </w:rPr>
  </w:style>
  <w:style w:styleId="Style_5" w:type="paragraph">
    <w:name w:val="toc 4"/>
    <w:next w:val="Style_1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next w:val="Style_1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next w:val="Style_1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link w:val="Style_8_ch"/>
    <w:uiPriority w:val="9"/>
    <w:qFormat/>
    <w:pPr>
      <w:ind/>
      <w:outlineLvl w:val="2"/>
    </w:pPr>
    <w:rPr>
      <w:color w:val="1F4D78"/>
      <w:sz w:val="24"/>
    </w:rPr>
  </w:style>
  <w:style w:styleId="Style_8_ch" w:type="character">
    <w:name w:val="heading 3"/>
    <w:link w:val="Style_8"/>
    <w:rPr>
      <w:color w:val="1F4D78"/>
      <w:sz w:val="24"/>
    </w:rPr>
  </w:style>
  <w:style w:styleId="Style_9" w:type="paragraph">
    <w:name w:val="toc 3"/>
    <w:next w:val="Style_1"/>
    <w:link w:val="Style_9_ch"/>
    <w:uiPriority w:val="39"/>
    <w:pPr>
      <w:ind w:firstLine="0" w:left="400"/>
    </w:pPr>
  </w:style>
  <w:style w:styleId="Style_9_ch" w:type="character">
    <w:name w:val="toc 3"/>
    <w:link w:val="Style_9"/>
  </w:style>
  <w:style w:styleId="Style_10" w:type="paragraph">
    <w:name w:val="heading 5"/>
    <w:link w:val="Style_10_ch"/>
    <w:uiPriority w:val="9"/>
    <w:qFormat/>
    <w:pPr>
      <w:ind/>
      <w:outlineLvl w:val="4"/>
    </w:pPr>
    <w:rPr>
      <w:color w:val="2E74B5"/>
    </w:rPr>
  </w:style>
  <w:style w:styleId="Style_10_ch" w:type="character">
    <w:name w:val="heading 5"/>
    <w:link w:val="Style_10"/>
    <w:rPr>
      <w:color w:val="2E74B5"/>
    </w:rPr>
  </w:style>
  <w:style w:styleId="Style_11" w:type="paragraph">
    <w:name w:val="List Paragraph"/>
    <w:link w:val="Style_11_ch"/>
  </w:style>
  <w:style w:styleId="Style_11_ch" w:type="character">
    <w:name w:val="List Paragraph"/>
    <w:link w:val="Style_11"/>
  </w:style>
  <w:style w:styleId="Style_12" w:type="paragraph">
    <w:name w:val="heading 1"/>
    <w:link w:val="Style_12_ch"/>
    <w:uiPriority w:val="9"/>
    <w:qFormat/>
    <w:pPr>
      <w:ind/>
      <w:outlineLvl w:val="0"/>
    </w:pPr>
    <w:rPr>
      <w:color w:val="2E74B5"/>
      <w:sz w:val="32"/>
    </w:rPr>
  </w:style>
  <w:style w:styleId="Style_12_ch" w:type="character">
    <w:name w:val="heading 1"/>
    <w:link w:val="Style_12"/>
    <w:rPr>
      <w:color w:val="2E74B5"/>
      <w:sz w:val="32"/>
    </w:rPr>
  </w:style>
  <w:style w:styleId="Style_13" w:type="paragraph">
    <w:name w:val="Hyperlink"/>
    <w:link w:val="Style_13_ch"/>
    <w:rPr>
      <w:color w:val="0563C1"/>
      <w:u w:val="single"/>
    </w:rPr>
  </w:style>
  <w:style w:styleId="Style_13_ch" w:type="character">
    <w:name w:val="Hyperlink"/>
    <w:link w:val="Style_13"/>
    <w:rPr>
      <w:color w:val="0563C1"/>
      <w:u w:val="single"/>
    </w:rPr>
  </w:style>
  <w:style w:styleId="Style_14" w:type="paragraph">
    <w:name w:val="Footnote"/>
    <w:link w:val="Style_14_ch"/>
    <w:pPr>
      <w:spacing w:after="0" w:line="240" w:lineRule="auto"/>
      <w:ind/>
    </w:pPr>
    <w:rPr>
      <w:sz w:val="20"/>
    </w:rPr>
  </w:style>
  <w:style w:styleId="Style_14_ch" w:type="character">
    <w:name w:val="Footnote"/>
    <w:link w:val="Style_14"/>
    <w:rPr>
      <w:sz w:val="20"/>
    </w:rPr>
  </w:style>
  <w:style w:styleId="Style_15" w:type="paragraph">
    <w:name w:val="toc 1"/>
    <w:next w:val="Style_1"/>
    <w:link w:val="Style_15_ch"/>
    <w:uiPriority w:val="39"/>
    <w:pPr>
      <w:ind w:firstLine="0" w:left="0"/>
    </w:pPr>
    <w:rPr>
      <w:rFonts w:ascii="XO Thames" w:hAnsi="XO Thames"/>
      <w:b w:val="1"/>
    </w:rPr>
  </w:style>
  <w:style w:styleId="Style_15_ch" w:type="character">
    <w:name w:val="toc 1"/>
    <w:link w:val="Style_15"/>
    <w:rPr>
      <w:rFonts w:ascii="XO Thames" w:hAnsi="XO Thames"/>
      <w:b w:val="1"/>
    </w:rPr>
  </w:style>
  <w:style w:styleId="Style_16" w:type="paragraph">
    <w:name w:val="Header and Footer"/>
    <w:link w:val="Style_16_ch"/>
    <w:pPr>
      <w:spacing w:line="360" w:lineRule="auto"/>
      <w:ind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1"/>
    <w:link w:val="Style_17_ch"/>
    <w:uiPriority w:val="39"/>
    <w:pPr>
      <w:ind w:firstLine="0" w:left="1600"/>
    </w:pPr>
  </w:style>
  <w:style w:styleId="Style_17_ch" w:type="character">
    <w:name w:val="toc 9"/>
    <w:link w:val="Style_17"/>
  </w:style>
  <w:style w:styleId="Style_18" w:type="paragraph">
    <w:name w:val="toc 8"/>
    <w:next w:val="Style_1"/>
    <w:link w:val="Style_18_ch"/>
    <w:uiPriority w:val="39"/>
    <w:pPr>
      <w:ind w:firstLine="0" w:left="1400"/>
    </w:pPr>
  </w:style>
  <w:style w:styleId="Style_18_ch" w:type="character">
    <w:name w:val="toc 8"/>
    <w:link w:val="Style_18"/>
  </w:style>
  <w:style w:styleId="Style_19" w:type="paragraph">
    <w:name w:val="endnote text"/>
    <w:link w:val="Style_19_ch"/>
    <w:pPr>
      <w:spacing w:after="0" w:line="240" w:lineRule="auto"/>
      <w:ind/>
    </w:pPr>
    <w:rPr>
      <w:sz w:val="20"/>
    </w:rPr>
  </w:style>
  <w:style w:styleId="Style_19_ch" w:type="character">
    <w:name w:val="endnote text"/>
    <w:link w:val="Style_19"/>
    <w:rPr>
      <w:sz w:val="20"/>
    </w:rPr>
  </w:style>
  <w:style w:styleId="Style_20" w:type="paragraph">
    <w:name w:val="toc 5"/>
    <w:next w:val="Style_1"/>
    <w:link w:val="Style_20_ch"/>
    <w:uiPriority w:val="39"/>
    <w:pPr>
      <w:ind w:firstLine="0" w:left="800"/>
    </w:pPr>
  </w:style>
  <w:style w:styleId="Style_20_ch" w:type="character">
    <w:name w:val="toc 5"/>
    <w:link w:val="Style_20"/>
  </w:style>
  <w:style w:styleId="Style_21" w:type="paragraph">
    <w:name w:val="Subtitle"/>
    <w:next w:val="Style_1"/>
    <w:link w:val="Style_21_ch"/>
    <w:uiPriority w:val="11"/>
    <w:qFormat/>
    <w:rPr>
      <w:rFonts w:ascii="XO Thames" w:hAnsi="XO Thames"/>
      <w:i w:val="1"/>
      <w:color w:val="616161"/>
      <w:sz w:val="24"/>
    </w:rPr>
  </w:style>
  <w:style w:styleId="Style_21_ch" w:type="character">
    <w:name w:val="Subtitle"/>
    <w:link w:val="Style_21"/>
    <w:rPr>
      <w:rFonts w:ascii="XO Thames" w:hAnsi="XO Thames"/>
      <w:i w:val="1"/>
      <w:color w:val="616161"/>
      <w:sz w:val="24"/>
    </w:rPr>
  </w:style>
  <w:style w:styleId="Style_22" w:type="paragraph">
    <w:name w:val="toc 10"/>
    <w:next w:val="Style_1"/>
    <w:link w:val="Style_22_ch"/>
    <w:uiPriority w:val="39"/>
    <w:pPr>
      <w:ind w:firstLine="0" w:left="1800"/>
    </w:pPr>
  </w:style>
  <w:style w:styleId="Style_22_ch" w:type="character">
    <w:name w:val="toc 10"/>
    <w:link w:val="Style_22"/>
  </w:style>
  <w:style w:styleId="Style_23" w:type="paragraph">
    <w:name w:val="Title"/>
    <w:link w:val="Style_23_ch"/>
    <w:uiPriority w:val="10"/>
    <w:qFormat/>
    <w:rPr>
      <w:sz w:val="56"/>
    </w:rPr>
  </w:style>
  <w:style w:styleId="Style_23_ch" w:type="character">
    <w:name w:val="Title"/>
    <w:link w:val="Style_23"/>
    <w:rPr>
      <w:sz w:val="56"/>
    </w:rPr>
  </w:style>
  <w:style w:styleId="Style_24" w:type="paragraph">
    <w:name w:val="heading 4"/>
    <w:link w:val="Style_24_ch"/>
    <w:uiPriority w:val="9"/>
    <w:qFormat/>
    <w:pPr>
      <w:ind/>
      <w:outlineLvl w:val="3"/>
    </w:pPr>
    <w:rPr>
      <w:i w:val="1"/>
      <w:color w:val="2E74B5"/>
    </w:rPr>
  </w:style>
  <w:style w:styleId="Style_24_ch" w:type="character">
    <w:name w:val="heading 4"/>
    <w:link w:val="Style_24"/>
    <w:rPr>
      <w:i w:val="1"/>
      <w:color w:val="2E74B5"/>
    </w:rPr>
  </w:style>
  <w:style w:styleId="Style_25" w:type="paragraph">
    <w:name w:val="Strong"/>
    <w:link w:val="Style_25_ch"/>
    <w:rPr>
      <w:b w:val="1"/>
    </w:rPr>
  </w:style>
  <w:style w:styleId="Style_25_ch" w:type="character">
    <w:name w:val="Strong"/>
    <w:link w:val="Style_25"/>
    <w:rPr>
      <w:b w:val="1"/>
    </w:rPr>
  </w:style>
  <w:style w:styleId="Style_26" w:type="paragraph">
    <w:name w:val="heading 2"/>
    <w:link w:val="Style_26_ch"/>
    <w:uiPriority w:val="9"/>
    <w:qFormat/>
    <w:pPr>
      <w:ind/>
      <w:outlineLvl w:val="1"/>
    </w:pPr>
    <w:rPr>
      <w:color w:val="2E74B5"/>
      <w:sz w:val="26"/>
    </w:rPr>
  </w:style>
  <w:style w:styleId="Style_26_ch" w:type="character">
    <w:name w:val="heading 2"/>
    <w:link w:val="Style_26"/>
    <w:rPr>
      <w:color w:val="2E74B5"/>
      <w:sz w:val="26"/>
    </w:rPr>
  </w:style>
  <w:style w:styleId="Style_27" w:type="paragraph">
    <w:name w:val="heading 6"/>
    <w:link w:val="Style_27_ch"/>
    <w:uiPriority w:val="9"/>
    <w:qFormat/>
    <w:pPr>
      <w:ind/>
      <w:outlineLvl w:val="5"/>
    </w:pPr>
    <w:rPr>
      <w:color w:val="1F4D78"/>
    </w:rPr>
  </w:style>
  <w:style w:styleId="Style_27_ch" w:type="character">
    <w:name w:val="heading 6"/>
    <w:link w:val="Style_27"/>
    <w:rPr>
      <w:color w:val="1F4D7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2026-09-03T07:30:53Z</dcterms:modified>
</cp:coreProperties>
</file>